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09"/>
        <w:jc w:val="center"/>
        <w:rPr/>
      </w:pPr>
      <w:r>
        <w:t xml:space="preserve">ПОВІДОМЛЕННЯ ПРО НАМІР ОТРИМАТИ ДОЗВІЛ НА ВИКИДИ</w:t>
      </w:r>
      <w:r/>
    </w:p>
    <w:p>
      <w:pPr>
        <w:pBdr/>
        <w:spacing/>
        <w:ind w:firstLine="709"/>
        <w:jc w:val="both"/>
        <w:rPr/>
      </w:pPr>
      <w:r/>
      <w:r/>
    </w:p>
    <w:p>
      <w:pPr>
        <w:pBdr/>
        <w:spacing/>
        <w:ind w:firstLine="709"/>
        <w:jc w:val="both"/>
        <w:rPr>
          <w:lang w:val="uk-UA"/>
        </w:rPr>
      </w:pPr>
      <w:r>
        <w:rPr>
          <w:lang w:val="uk-UA" w:eastAsia="uk-UA"/>
        </w:rPr>
        <w:t xml:space="preserve">ПУБЛІЧНЕ АКЦІОНЕРНЕ ТОВАРИСТВО «УКРНАФТА»</w:t>
      </w:r>
      <w:r>
        <w:rPr>
          <w:lang w:val="uk-UA" w:eastAsia="uk-UA"/>
        </w:rPr>
        <w:t xml:space="preserve"> </w:t>
      </w:r>
      <w:r>
        <w:rPr>
          <w:rFonts w:eastAsia="MS Mincho"/>
          <w:lang w:val="uk-UA"/>
        </w:rPr>
        <w:t xml:space="preserve">(</w:t>
      </w:r>
      <w:r>
        <w:rPr>
          <w:rFonts w:eastAsia="MS Mincho"/>
          <w:lang w:val="uk-UA"/>
        </w:rPr>
        <w:t xml:space="preserve">ПАТ «УКРНАФТА»</w:t>
      </w:r>
      <w:r>
        <w:rPr>
          <w:rFonts w:eastAsia="MS Mincho"/>
          <w:lang w:val="uk-UA"/>
        </w:rPr>
        <w:t xml:space="preserve">, </w:t>
      </w:r>
      <w:r>
        <w:rPr>
          <w:rFonts w:eastAsia="MS Mincho"/>
          <w:lang w:val="uk-UA"/>
        </w:rPr>
        <w:t xml:space="preserve">код за ЄДРПОУ –</w:t>
      </w:r>
      <w:r>
        <w:rPr>
          <w:lang w:val="uk-UA"/>
        </w:rPr>
        <w:t xml:space="preserve"> </w:t>
      </w:r>
      <w:r>
        <w:rPr>
          <w:lang w:val="uk-UA"/>
        </w:rPr>
        <w:t xml:space="preserve">00135390</w:t>
      </w:r>
      <w:r>
        <w:rPr>
          <w:rFonts w:eastAsia="MS Mincho"/>
          <w:lang w:val="uk-UA"/>
        </w:rPr>
        <w:t xml:space="preserve">), </w:t>
      </w:r>
      <w:r>
        <w:rPr>
          <w:lang w:val="uk-UA"/>
        </w:rPr>
        <w:t xml:space="preserve">юридична</w:t>
      </w:r>
      <w:r>
        <w:rPr>
          <w:lang w:val="uk-UA"/>
        </w:rPr>
        <w:t xml:space="preserve"> та поштова</w:t>
      </w:r>
      <w:r>
        <w:rPr>
          <w:lang w:val="uk-UA"/>
        </w:rPr>
        <w:t xml:space="preserve"> адреса: 04053, Україна, м. Київ, Шевченківський р-н, </w:t>
      </w:r>
      <w:r>
        <w:rPr>
          <w:lang w:val="uk-UA"/>
        </w:rPr>
        <w:t xml:space="preserve">пров</w:t>
      </w:r>
      <w:r>
        <w:rPr>
          <w:lang w:val="uk-UA"/>
        </w:rPr>
        <w:t xml:space="preserve">. </w:t>
      </w:r>
      <w:r>
        <w:rPr>
          <w:lang w:val="uk-UA"/>
        </w:rPr>
        <w:t xml:space="preserve">Несторівський</w:t>
      </w:r>
      <w:r>
        <w:rPr>
          <w:lang w:val="uk-UA"/>
        </w:rPr>
        <w:t xml:space="preserve">, 3-5</w:t>
      </w:r>
      <w:r>
        <w:rPr>
          <w:lang w:val="uk-UA"/>
        </w:rPr>
        <w:t xml:space="preserve">,</w:t>
      </w:r>
      <w:r>
        <w:rPr>
          <w:lang w:val="uk-UA"/>
        </w:rPr>
        <w:t xml:space="preserve"> </w:t>
      </w:r>
      <w:r>
        <w:rPr>
          <w:lang w:val="uk-UA"/>
        </w:rPr>
        <w:t xml:space="preserve">050 6214793</w:t>
      </w:r>
      <w:r>
        <w:rPr>
          <w:lang w:val="uk-UA"/>
        </w:rPr>
        <w:t xml:space="preserve">, </w:t>
      </w:r>
      <w:hyperlink r:id="rId8" w:tooltip="mailto:Svitlana.Kasha@Ukrnafta.com" w:history="1">
        <w:r>
          <w:rPr>
            <w:rStyle w:val="635"/>
            <w:lang w:val="uk-UA"/>
          </w:rPr>
          <w:t xml:space="preserve">Svitlana.Kasha@Ukrnafta.com</w:t>
        </w:r>
      </w:hyperlink>
      <w:r>
        <w:rPr>
          <w:lang w:val="uk-UA"/>
        </w:rPr>
        <w:t xml:space="preserve"> </w:t>
      </w:r>
      <w:r>
        <w:rPr>
          <w:lang w:val="uk-UA"/>
        </w:rPr>
        <w:t xml:space="preserve">повідомляє про наміри отримання Дозволу на викиди для майданчика Основне виробництво </w:t>
      </w:r>
      <w:r>
        <w:rPr>
          <w:lang w:val="uk-UA"/>
        </w:rPr>
        <w:t xml:space="preserve">Гнідинцівського</w:t>
      </w:r>
      <w:r>
        <w:rPr>
          <w:lang w:val="uk-UA"/>
        </w:rPr>
        <w:t xml:space="preserve"> газопереробного заводу ПАТ «УКРНАФТА» за фактичною </w:t>
      </w:r>
      <w:r>
        <w:rPr>
          <w:lang w:val="uk-UA"/>
        </w:rPr>
        <w:t xml:space="preserve">адресою</w:t>
      </w:r>
      <w:r>
        <w:rPr>
          <w:lang w:val="uk-UA"/>
        </w:rPr>
        <w:t xml:space="preserve">  17640, Чернігівська обл., Прилуцький р-н, Варвинська територіальна громада, с. </w:t>
      </w:r>
      <w:r>
        <w:rPr>
          <w:lang w:val="uk-UA"/>
        </w:rPr>
        <w:t xml:space="preserve">Гнідинці</w:t>
      </w:r>
      <w:r>
        <w:rPr>
          <w:lang w:val="uk-UA"/>
        </w:rPr>
        <w:t xml:space="preserve">. </w:t>
      </w:r>
      <w:r>
        <w:rPr>
          <w:lang w:val="uk-UA"/>
        </w:rPr>
        <w:t xml:space="preserve">Дозвіл отримується </w:t>
      </w:r>
      <w:r>
        <w:rPr>
          <w:lang w:val="uk-UA"/>
        </w:rPr>
        <w:t xml:space="preserve">для існуючого об’єкта </w:t>
      </w:r>
      <w:r>
        <w:rPr>
          <w:lang w:val="uk-UA"/>
        </w:rPr>
        <w:t xml:space="preserve">через закінчення терміну дії попереднього дозволу </w:t>
      </w:r>
      <w:r>
        <w:rPr>
          <w:lang w:val="uk-UA"/>
        </w:rPr>
        <w:t xml:space="preserve">(№ 7421181201-8 від 20.12.2018)</w:t>
      </w:r>
      <w:r>
        <w:rPr>
          <w:lang w:val="uk-UA"/>
        </w:rPr>
        <w:t xml:space="preserve"> та технічне переоснащення секції отримання адсорбенту. М</w:t>
      </w:r>
      <w:r>
        <w:rPr>
          <w:lang w:val="uk-UA"/>
        </w:rPr>
        <w:t xml:space="preserve">ет</w:t>
      </w:r>
      <w:r>
        <w:rPr>
          <w:lang w:val="uk-UA"/>
        </w:rPr>
        <w:t xml:space="preserve">а -</w:t>
      </w:r>
      <w:r>
        <w:rPr>
          <w:lang w:val="uk-UA"/>
        </w:rPr>
        <w:t xml:space="preserve"> дотримання вимог природоохоронного законодавства, а саме отримати право експлуатувати обладнання, з якого надходять викиди забруднююч</w:t>
      </w:r>
      <w:r>
        <w:rPr>
          <w:lang w:val="uk-UA"/>
        </w:rPr>
        <w:t xml:space="preserve">их речовин в атмосферне повітря, та </w:t>
      </w:r>
      <w:r>
        <w:rPr>
          <w:lang w:val="uk-UA"/>
        </w:rPr>
        <w:t xml:space="preserve">перен</w:t>
      </w:r>
      <w:r>
        <w:rPr>
          <w:lang w:val="uk-UA"/>
        </w:rPr>
        <w:t xml:space="preserve">есення заходів для джерел 64-72 (</w:t>
      </w:r>
      <w:r>
        <w:rPr>
          <w:lang w:val="uk-UA"/>
        </w:rPr>
        <w:t xml:space="preserve">заміна компресорів цеху переробки газу, термін виконання яких </w:t>
      </w:r>
      <w:r>
        <w:rPr>
          <w:lang w:val="uk-UA"/>
        </w:rPr>
        <w:t xml:space="preserve">був встановлений на </w:t>
      </w:r>
      <w:r>
        <w:rPr>
          <w:lang w:val="uk-UA"/>
        </w:rPr>
        <w:t xml:space="preserve">31.12.2023</w:t>
      </w:r>
      <w:r>
        <w:rPr>
          <w:lang w:val="uk-UA"/>
        </w:rPr>
        <w:t xml:space="preserve">).</w:t>
      </w:r>
      <w:r>
        <w:rPr>
          <w:lang w:val="uk-UA"/>
        </w:rPr>
        <w:t xml:space="preserve"> </w:t>
      </w:r>
      <w:r>
        <w:rPr>
          <w:lang w:val="uk-UA"/>
        </w:rPr>
        <w:t xml:space="preserve">Перенесення заходів дозволено </w:t>
      </w:r>
      <w:r>
        <w:rPr>
          <w:lang w:val="uk-UA"/>
        </w:rPr>
        <w:t xml:space="preserve">п. 55 Плану заходів щодо дерегуляції господарської діяльності та покращення бізнес-клімату, затвердженого розпорядженням  Кабінету Міністрів України від 4 грудня 2019 р. № 1413 (в редакції від 3 вересня 2024 р. №838-р) строк</w:t>
      </w:r>
      <w:r>
        <w:rPr>
          <w:lang w:val="uk-UA"/>
        </w:rPr>
        <w:t xml:space="preserve">ом</w:t>
      </w:r>
      <w:r>
        <w:rPr>
          <w:lang w:val="uk-UA"/>
        </w:rPr>
        <w:t xml:space="preserve"> </w:t>
      </w:r>
      <w:r>
        <w:rPr>
          <w:lang w:val="uk-UA"/>
        </w:rPr>
        <w:t xml:space="preserve">на період воєнного стану </w:t>
      </w:r>
      <w:r>
        <w:rPr>
          <w:lang w:val="uk-UA"/>
        </w:rPr>
        <w:t xml:space="preserve">в Україні</w:t>
      </w:r>
      <w:r>
        <w:rPr>
          <w:lang w:val="uk-UA"/>
        </w:rPr>
        <w:t xml:space="preserve"> та протягом двох років після  його припинення</w:t>
      </w:r>
      <w:r>
        <w:rPr>
          <w:lang w:val="uk-UA"/>
        </w:rPr>
        <w:t xml:space="preserve"> / </w:t>
      </w:r>
      <w:r>
        <w:rPr>
          <w:lang w:val="uk-UA"/>
        </w:rPr>
        <w:t xml:space="preserve">скасування</w:t>
      </w:r>
      <w:r>
        <w:rPr>
          <w:lang w:val="uk-UA"/>
        </w:rPr>
        <w:t xml:space="preserve">.</w:t>
      </w:r>
      <w:r>
        <w:rPr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Основний вид діяльності </w:t>
      </w:r>
      <w:r>
        <w:rPr>
          <w:lang w:val="uk-UA"/>
        </w:rPr>
        <w:t xml:space="preserve">ПАТ "Укрнафта" </w:t>
      </w:r>
      <w:r>
        <w:rPr>
          <w:lang w:val="uk-UA"/>
        </w:rPr>
        <w:t xml:space="preserve">- </w:t>
      </w:r>
      <w:r>
        <w:rPr>
          <w:lang w:val="uk-UA"/>
        </w:rPr>
        <w:t xml:space="preserve">06.10 Добування сирої нафти</w:t>
      </w:r>
      <w:r>
        <w:rPr>
          <w:lang w:val="uk-UA"/>
        </w:rPr>
        <w:t xml:space="preserve">.</w:t>
      </w:r>
      <w:r>
        <w:rPr>
          <w:lang w:val="uk-UA"/>
        </w:rPr>
        <w:t xml:space="preserve"> </w:t>
      </w:r>
      <w:r>
        <w:rPr>
          <w:lang w:val="uk-UA"/>
        </w:rPr>
        <w:t xml:space="preserve">Наявний висновок ОВД № 21/01-</w:t>
      </w:r>
      <w:r>
        <w:rPr>
          <w:lang w:val="uk-UA"/>
        </w:rPr>
        <w:t xml:space="preserve">202310511143/1</w:t>
      </w:r>
      <w:r>
        <w:rPr>
          <w:lang w:val="uk-UA"/>
        </w:rPr>
        <w:t xml:space="preserve">, в якому зазначено допустимість провадження планованої діяльності</w:t>
      </w:r>
      <w:r>
        <w:rPr>
          <w:lang w:val="uk-UA"/>
        </w:rPr>
        <w:t xml:space="preserve"> </w:t>
      </w:r>
      <w:r>
        <w:rPr>
          <w:lang w:val="uk-UA"/>
        </w:rPr>
        <w:t xml:space="preserve">Гнідинцівського</w:t>
      </w:r>
      <w:r>
        <w:rPr>
          <w:lang w:val="uk-UA"/>
        </w:rPr>
        <w:t xml:space="preserve"> газопереробного заводу</w:t>
      </w:r>
      <w:r>
        <w:rPr>
          <w:lang w:val="uk-UA"/>
        </w:rPr>
        <w:t xml:space="preserve"> (</w:t>
      </w:r>
      <w:r>
        <w:rPr>
          <w:lang w:val="uk-UA"/>
        </w:rPr>
        <w:t xml:space="preserve">технічне переоснащення секції отримання адсорбенту)</w:t>
      </w:r>
      <w:r>
        <w:rPr>
          <w:lang w:val="uk-UA"/>
        </w:rPr>
        <w:t xml:space="preserve">.</w:t>
      </w:r>
      <w:r>
        <w:rPr>
          <w:color w:val="333333"/>
          <w:shd w:val="clear" w:color="auto" w:fill="ffffff"/>
          <w:lang w:val="uk-UA"/>
        </w:rPr>
        <w:t xml:space="preserve"> </w:t>
      </w:r>
      <w:r>
        <w:rPr>
          <w:bCs/>
          <w:lang w:val="uk-UA"/>
        </w:rPr>
        <w:t xml:space="preserve">На </w:t>
      </w:r>
      <w:r>
        <w:rPr>
          <w:bCs/>
          <w:lang w:val="uk-UA"/>
        </w:rPr>
        <w:t xml:space="preserve">майданчику наявн</w:t>
      </w:r>
      <w:r>
        <w:rPr>
          <w:bCs/>
          <w:lang w:val="uk-UA"/>
        </w:rPr>
        <w:t xml:space="preserve">і</w:t>
      </w:r>
      <w:r>
        <w:rPr>
          <w:bCs/>
          <w:lang w:val="uk-UA"/>
        </w:rPr>
        <w:t xml:space="preserve"> виробництв</w:t>
      </w:r>
      <w:r>
        <w:rPr>
          <w:bCs/>
          <w:lang w:val="uk-UA"/>
        </w:rPr>
        <w:t xml:space="preserve">а: </w:t>
      </w:r>
      <w:r>
        <w:rPr>
          <w:bCs/>
          <w:lang w:val="uk-UA"/>
        </w:rPr>
        <w:t xml:space="preserve">1.B.2.a.iv – Неорганізовані викиди: переробка та зберігання нафти / 040104 – зберігання та обробка нафтопродуктів на НПЗ, 1.B.2.a.v Розподіл нафтопродуктів / 050503 Автозаправні станції (включаючи заправку автомобілів паливом)</w:t>
      </w:r>
      <w:r>
        <w:rPr>
          <w:bCs/>
          <w:lang w:val="uk-UA"/>
        </w:rPr>
        <w:t xml:space="preserve">, 1.B.2.c Вентилювання та факельне спалювання / 090203 - Факельне спалювання на </w:t>
      </w:r>
      <w:r>
        <w:rPr>
          <w:bCs/>
          <w:lang w:val="uk-UA"/>
        </w:rPr>
        <w:t xml:space="preserve">нафтогазопереробних</w:t>
      </w:r>
      <w:r>
        <w:rPr>
          <w:bCs/>
          <w:lang w:val="uk-UA"/>
        </w:rPr>
        <w:t xml:space="preserve"> заводах, 6.A Інше</w:t>
      </w:r>
      <w:r>
        <w:rPr>
          <w:bCs/>
          <w:lang w:val="uk-UA"/>
        </w:rPr>
        <w:t xml:space="preserve">.</w:t>
      </w:r>
      <w:r>
        <w:rPr>
          <w:bCs/>
          <w:lang w:val="uk-UA"/>
        </w:rPr>
        <w:t xml:space="preserve"> </w:t>
      </w:r>
      <w:r>
        <w:rPr>
          <w:bCs/>
          <w:lang w:val="uk-UA"/>
        </w:rPr>
        <w:t xml:space="preserve">Джерел</w:t>
      </w:r>
      <w:r>
        <w:rPr>
          <w:bCs/>
          <w:lang w:val="uk-UA"/>
        </w:rPr>
        <w:t xml:space="preserve">ами</w:t>
      </w:r>
      <w:r>
        <w:rPr>
          <w:bCs/>
          <w:lang w:val="uk-UA"/>
        </w:rPr>
        <w:t xml:space="preserve"> утворення забруднюючих речовин є</w:t>
      </w:r>
      <w:r>
        <w:rPr>
          <w:bCs/>
          <w:lang w:val="uk-UA"/>
        </w:rPr>
        <w:t xml:space="preserve"> </w:t>
      </w:r>
      <w:r>
        <w:rPr>
          <w:bCs/>
          <w:lang w:val="uk-UA"/>
        </w:rPr>
        <w:t xml:space="preserve">насоси нафти, </w:t>
      </w:r>
      <w:r>
        <w:rPr>
          <w:bCs/>
          <w:lang w:val="uk-UA"/>
        </w:rPr>
        <w:t xml:space="preserve">ігнгібітору</w:t>
      </w:r>
      <w:r>
        <w:rPr>
          <w:bCs/>
          <w:lang w:val="uk-UA"/>
        </w:rPr>
        <w:t xml:space="preserve"> корозії, деемульгатору, ємності інгібітору корозії,  нафти, </w:t>
      </w:r>
      <w:r>
        <w:rPr>
          <w:bCs/>
          <w:lang w:val="uk-UA"/>
        </w:rPr>
        <w:t xml:space="preserve">гасу, </w:t>
      </w:r>
      <w:r>
        <w:rPr>
          <w:bCs/>
          <w:lang w:val="uk-UA"/>
        </w:rPr>
        <w:t xml:space="preserve">нафтошламу</w:t>
      </w:r>
      <w:r>
        <w:rPr>
          <w:bCs/>
          <w:lang w:val="uk-UA"/>
        </w:rPr>
        <w:t xml:space="preserve">, дизельного палива, бензину, </w:t>
      </w:r>
      <w:r>
        <w:rPr>
          <w:bCs/>
          <w:lang w:val="uk-UA"/>
        </w:rPr>
        <w:t xml:space="preserve">печі безполум’яного горіння, газові котли, </w:t>
      </w:r>
      <w:r>
        <w:rPr>
          <w:bCs/>
          <w:lang w:val="uk-UA"/>
        </w:rPr>
        <w:t xml:space="preserve">паливороздавальна</w:t>
      </w:r>
      <w:r>
        <w:rPr>
          <w:bCs/>
          <w:lang w:val="uk-UA"/>
        </w:rPr>
        <w:t xml:space="preserve"> колонка дизпалива, спалювання газу в факелах, </w:t>
      </w:r>
      <w:r>
        <w:rPr>
          <w:bCs/>
          <w:lang w:val="uk-UA"/>
        </w:rPr>
        <w:t xml:space="preserve">газомотокомпресори</w:t>
      </w:r>
      <w:r>
        <w:rPr>
          <w:bCs/>
          <w:lang w:val="uk-UA"/>
        </w:rPr>
        <w:t xml:space="preserve">,</w:t>
      </w:r>
      <w:r>
        <w:rPr>
          <w:bCs/>
          <w:lang w:val="uk-UA"/>
        </w:rPr>
        <w:t xml:space="preserve"> обладнання</w:t>
      </w:r>
      <w:r>
        <w:rPr>
          <w:bCs/>
          <w:lang w:val="uk-UA"/>
        </w:rPr>
        <w:t xml:space="preserve"> </w:t>
      </w:r>
      <w:r>
        <w:rPr>
          <w:bCs/>
          <w:lang w:val="uk-UA"/>
        </w:rPr>
        <w:t xml:space="preserve">машзалу</w:t>
      </w:r>
      <w:r>
        <w:rPr>
          <w:bCs/>
          <w:lang w:val="uk-UA"/>
        </w:rPr>
        <w:t xml:space="preserve">, </w:t>
      </w:r>
      <w:r>
        <w:rPr>
          <w:bCs/>
          <w:lang w:val="uk-UA"/>
        </w:rPr>
        <w:t xml:space="preserve">метанольне</w:t>
      </w:r>
      <w:r>
        <w:rPr>
          <w:bCs/>
          <w:lang w:val="uk-UA"/>
        </w:rPr>
        <w:t xml:space="preserve"> господарство, запобіжний клапан, насосна ПММ, хімічна лабораторія, </w:t>
      </w:r>
      <w:r>
        <w:rPr>
          <w:bCs/>
          <w:lang w:val="uk-UA"/>
        </w:rPr>
        <w:t xml:space="preserve">фланцев</w:t>
      </w:r>
      <w:r>
        <w:rPr>
          <w:bCs/>
          <w:lang w:val="uk-UA"/>
        </w:rPr>
        <w:t xml:space="preserve">і</w:t>
      </w:r>
      <w:r>
        <w:rPr>
          <w:bCs/>
          <w:lang w:val="uk-UA"/>
        </w:rPr>
        <w:t xml:space="preserve"> з'єднан</w:t>
      </w:r>
      <w:r>
        <w:rPr>
          <w:bCs/>
          <w:lang w:val="uk-UA"/>
        </w:rPr>
        <w:t xml:space="preserve">ня</w:t>
      </w:r>
      <w:r>
        <w:rPr>
          <w:bCs/>
          <w:lang w:val="uk-UA"/>
        </w:rPr>
        <w:t xml:space="preserve"> та </w:t>
      </w:r>
      <w:r>
        <w:rPr>
          <w:bCs/>
          <w:lang w:val="uk-UA"/>
        </w:rPr>
        <w:t xml:space="preserve">запірно</w:t>
      </w:r>
      <w:r>
        <w:rPr>
          <w:bCs/>
          <w:lang w:val="uk-UA"/>
        </w:rPr>
        <w:t xml:space="preserve">-регулююч</w:t>
      </w:r>
      <w:r>
        <w:rPr>
          <w:bCs/>
          <w:lang w:val="uk-UA"/>
        </w:rPr>
        <w:t xml:space="preserve">а</w:t>
      </w:r>
      <w:r>
        <w:rPr>
          <w:bCs/>
          <w:lang w:val="uk-UA"/>
        </w:rPr>
        <w:t xml:space="preserve"> арматур</w:t>
      </w:r>
      <w:r>
        <w:rPr>
          <w:bCs/>
          <w:lang w:val="uk-UA"/>
        </w:rPr>
        <w:t xml:space="preserve">а, </w:t>
      </w:r>
      <w:r>
        <w:rPr>
          <w:bCs/>
          <w:lang w:val="uk-UA"/>
        </w:rPr>
        <w:t xml:space="preserve">з</w:t>
      </w:r>
      <w:r>
        <w:rPr>
          <w:bCs/>
          <w:lang w:val="uk-UA"/>
        </w:rPr>
        <w:t xml:space="preserve">аточний</w:t>
      </w:r>
      <w:r>
        <w:rPr>
          <w:bCs/>
          <w:lang w:val="uk-UA"/>
        </w:rPr>
        <w:t xml:space="preserve"> верстат,</w:t>
      </w:r>
      <w:r>
        <w:rPr>
          <w:bCs/>
          <w:lang w:val="uk-UA"/>
        </w:rPr>
        <w:t xml:space="preserve"> </w:t>
      </w:r>
      <w:r>
        <w:rPr>
          <w:bCs/>
          <w:lang w:val="uk-UA"/>
        </w:rPr>
        <w:t xml:space="preserve">пости зварювання та газової різки, д</w:t>
      </w:r>
      <w:r>
        <w:rPr>
          <w:bCs/>
          <w:lang w:val="uk-UA"/>
        </w:rPr>
        <w:t xml:space="preserve">ільниця приготування бетонного розчину</w:t>
      </w:r>
      <w:r>
        <w:rPr>
          <w:bCs/>
          <w:lang w:val="uk-UA"/>
        </w:rPr>
        <w:t xml:space="preserve">, столярна дільниця, центрифуга, </w:t>
      </w:r>
      <w:r>
        <w:rPr>
          <w:bCs/>
          <w:lang w:val="uk-UA"/>
        </w:rPr>
        <w:t xml:space="preserve">шламонакопичувач</w:t>
      </w:r>
      <w:r>
        <w:rPr>
          <w:color w:val="000000"/>
          <w:lang w:val="uk-UA"/>
        </w:rPr>
        <w:t xml:space="preserve"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На підприємстві наявно </w:t>
      </w:r>
      <w:r>
        <w:rPr>
          <w:lang w:val="uk-UA"/>
        </w:rPr>
        <w:t xml:space="preserve">76 організованих, 32</w:t>
      </w:r>
      <w:r>
        <w:rPr>
          <w:lang w:val="uk-UA"/>
        </w:rPr>
        <w:t xml:space="preserve"> </w:t>
      </w:r>
      <w:r>
        <w:rPr>
          <w:lang w:val="uk-UA"/>
        </w:rPr>
        <w:t xml:space="preserve">не</w:t>
      </w:r>
      <w:r>
        <w:rPr>
          <w:lang w:val="uk-UA"/>
        </w:rPr>
        <w:t xml:space="preserve">організован</w:t>
      </w:r>
      <w:r>
        <w:rPr>
          <w:lang w:val="uk-UA"/>
        </w:rPr>
        <w:t xml:space="preserve">их</w:t>
      </w:r>
      <w:r>
        <w:rPr>
          <w:lang w:val="uk-UA"/>
        </w:rPr>
        <w:t xml:space="preserve"> </w:t>
      </w:r>
      <w:r>
        <w:rPr>
          <w:lang w:val="uk-UA"/>
        </w:rPr>
        <w:t xml:space="preserve"> джерел</w:t>
      </w:r>
      <w:r>
        <w:rPr>
          <w:lang w:val="uk-UA"/>
        </w:rPr>
        <w:t xml:space="preserve">а</w:t>
      </w:r>
      <w:r>
        <w:rPr>
          <w:lang w:val="uk-UA"/>
        </w:rPr>
        <w:t xml:space="preserve"> викиду.</w:t>
      </w:r>
      <w:r>
        <w:rPr>
          <w:bCs/>
          <w:lang w:val="uk-UA"/>
        </w:rPr>
      </w:r>
    </w:p>
    <w:p>
      <w:pPr>
        <w:pBdr/>
        <w:spacing/>
        <w:ind w:firstLine="709"/>
        <w:jc w:val="both"/>
        <w:rPr>
          <w:b/>
          <w:lang w:val="uk-UA"/>
        </w:rPr>
      </w:pPr>
      <w:r>
        <w:rPr>
          <w:lang w:val="uk-UA"/>
        </w:rPr>
        <w:t xml:space="preserve">Джерел</w:t>
      </w:r>
      <w:r>
        <w:rPr>
          <w:lang w:val="uk-UA"/>
        </w:rPr>
        <w:t xml:space="preserve">ами</w:t>
      </w:r>
      <w:r>
        <w:rPr>
          <w:lang w:val="uk-UA"/>
        </w:rPr>
        <w:t xml:space="preserve"> викидаю</w:t>
      </w:r>
      <w:r>
        <w:rPr>
          <w:lang w:val="uk-UA"/>
        </w:rPr>
        <w:t xml:space="preserve">ться</w:t>
      </w:r>
      <w:r>
        <w:rPr>
          <w:lang w:val="uk-UA"/>
        </w:rPr>
        <w:t xml:space="preserve"> </w:t>
      </w:r>
      <w:r>
        <w:rPr>
          <w:lang w:val="uk-UA"/>
        </w:rPr>
        <w:t xml:space="preserve">наступні</w:t>
      </w:r>
      <w:r>
        <w:rPr>
          <w:lang w:val="uk-UA"/>
        </w:rPr>
        <w:t xml:space="preserve"> забруднююч</w:t>
      </w:r>
      <w:r>
        <w:rPr>
          <w:lang w:val="uk-UA"/>
        </w:rPr>
        <w:t xml:space="preserve">і</w:t>
      </w:r>
      <w:r>
        <w:rPr>
          <w:lang w:val="uk-UA"/>
        </w:rPr>
        <w:t xml:space="preserve"> речовин</w:t>
      </w:r>
      <w:r>
        <w:rPr>
          <w:lang w:val="uk-UA"/>
        </w:rPr>
        <w:t xml:space="preserve">и</w:t>
      </w:r>
      <w:r>
        <w:rPr>
          <w:lang w:val="uk-UA"/>
        </w:rPr>
        <w:t xml:space="preserve"> (т/рік із заокругленням до 3-го знаку/г/с): Азоту (1) оксид (N₂O)</w:t>
      </w:r>
      <w:r>
        <w:rPr>
          <w:lang w:val="uk-UA"/>
        </w:rPr>
        <w:t xml:space="preserve"> – 0,329/-, </w:t>
      </w:r>
      <w:r>
        <w:rPr>
          <w:lang w:val="uk-UA"/>
        </w:rPr>
        <w:t xml:space="preserve">Вуглецю діоксид</w:t>
      </w:r>
      <w:r>
        <w:rPr>
          <w:lang w:val="uk-UA"/>
        </w:rPr>
        <w:t xml:space="preserve"> - </w:t>
      </w:r>
      <w:r>
        <w:rPr>
          <w:lang w:val="uk-UA"/>
        </w:rPr>
        <w:t xml:space="preserve">36153,42</w:t>
      </w:r>
      <w:r>
        <w:rPr>
          <w:lang w:val="uk-UA"/>
        </w:rPr>
        <w:t xml:space="preserve">8/-, </w:t>
      </w:r>
      <w:r>
        <w:rPr>
          <w:lang w:val="uk-UA"/>
        </w:rPr>
        <w:t xml:space="preserve">Залізо та його сполуки (у перерахунку на залізо)</w:t>
      </w:r>
      <w:r>
        <w:rPr>
          <w:lang w:val="uk-UA"/>
        </w:rPr>
        <w:t xml:space="preserve"> - </w:t>
      </w:r>
      <w:r>
        <w:rPr>
          <w:lang w:val="uk-UA"/>
        </w:rPr>
        <w:t xml:space="preserve">0,02</w:t>
      </w:r>
      <w:r>
        <w:rPr>
          <w:lang w:val="uk-UA"/>
        </w:rPr>
        <w:t xml:space="preserve">2/</w:t>
      </w:r>
      <w:r>
        <w:rPr>
          <w:lang w:val="uk-UA"/>
        </w:rPr>
        <w:t xml:space="preserve">0,01193</w:t>
      </w:r>
      <w:r>
        <w:rPr>
          <w:lang w:val="uk-UA"/>
        </w:rPr>
        <w:t xml:space="preserve">, </w:t>
      </w:r>
      <w:r>
        <w:rPr>
          <w:lang w:val="uk-UA"/>
        </w:rPr>
        <w:t xml:space="preserve">Манган та його сполуки (у перерахунку на діоксид мангану)</w:t>
      </w:r>
      <w:r>
        <w:rPr>
          <w:lang w:val="uk-UA"/>
        </w:rPr>
        <w:t xml:space="preserve"> – 0,001/</w:t>
      </w:r>
      <w:r>
        <w:rPr>
          <w:lang w:val="uk-UA"/>
        </w:rPr>
        <w:t xml:space="preserve">0,000398</w:t>
      </w:r>
      <w:r>
        <w:rPr>
          <w:lang w:val="uk-UA"/>
        </w:rPr>
        <w:t xml:space="preserve">, </w:t>
      </w:r>
      <w:r>
        <w:rPr>
          <w:lang w:val="uk-UA"/>
        </w:rPr>
        <w:t xml:space="preserve">Ртуть та її сполуки в перерахунку на ртуть</w:t>
      </w:r>
      <w:r>
        <w:rPr>
          <w:lang w:val="uk-UA"/>
        </w:rPr>
        <w:t xml:space="preserve"> - </w:t>
      </w:r>
      <w:r>
        <w:rPr>
          <w:lang w:val="uk-UA"/>
        </w:rPr>
        <w:t xml:space="preserve">0,0000</w:t>
      </w:r>
      <w:r>
        <w:rPr>
          <w:lang w:val="uk-UA"/>
        </w:rPr>
        <w:t xml:space="preserve">2/-, </w:t>
      </w:r>
      <w:r>
        <w:rPr>
          <w:lang w:val="uk-UA"/>
        </w:rPr>
        <w:t xml:space="preserve">Оксиди азоту (оксид та діоксид азоту) у перерахунку на діоксид азоту</w:t>
      </w:r>
      <w:r>
        <w:rPr>
          <w:lang w:val="uk-UA"/>
        </w:rPr>
        <w:t xml:space="preserve"> – 108,966/</w:t>
      </w:r>
      <w:r>
        <w:rPr>
          <w:lang w:val="uk-UA"/>
        </w:rPr>
        <w:t xml:space="preserve">23,156777</w:t>
      </w:r>
      <w:r>
        <w:rPr>
          <w:lang w:val="uk-UA"/>
        </w:rPr>
        <w:t xml:space="preserve">, Оксид вуглецю – 468,394/</w:t>
      </w:r>
      <w:r>
        <w:rPr>
          <w:lang w:val="uk-UA"/>
        </w:rPr>
        <w:t xml:space="preserve">54,175796</w:t>
      </w:r>
      <w:r>
        <w:rPr>
          <w:lang w:val="uk-UA"/>
        </w:rPr>
        <w:t xml:space="preserve">, </w:t>
      </w:r>
      <w:r>
        <w:rPr>
          <w:lang w:val="uk-UA"/>
        </w:rPr>
        <w:t xml:space="preserve">Сульфатна кислота (H2SO4) [сірчана кислота]</w:t>
      </w:r>
      <w:r>
        <w:rPr>
          <w:lang w:val="uk-UA"/>
        </w:rPr>
        <w:t xml:space="preserve"> – 0,0002/</w:t>
      </w:r>
      <w:r>
        <w:rPr>
          <w:lang w:val="uk-UA"/>
        </w:rPr>
        <w:t xml:space="preserve">0,00003</w:t>
      </w:r>
      <w:r>
        <w:rPr>
          <w:lang w:val="uk-UA"/>
        </w:rPr>
        <w:t xml:space="preserve">, </w:t>
      </w:r>
      <w:r>
        <w:rPr>
          <w:lang w:val="uk-UA"/>
        </w:rPr>
        <w:t xml:space="preserve">Речовини у вигляді суспендованих твердих частинок недиференційованих за складом</w:t>
      </w:r>
      <w:r>
        <w:rPr>
          <w:lang w:val="uk-UA"/>
        </w:rPr>
        <w:t xml:space="preserve"> – 49,977/</w:t>
      </w:r>
      <w:r>
        <w:rPr>
          <w:lang w:val="uk-UA"/>
        </w:rPr>
        <w:t xml:space="preserve">5,689176</w:t>
      </w:r>
      <w:r>
        <w:rPr>
          <w:lang w:val="uk-UA"/>
        </w:rPr>
        <w:t xml:space="preserve">, </w:t>
      </w:r>
      <w:r>
        <w:rPr>
          <w:lang w:val="uk-UA"/>
        </w:rPr>
        <w:t xml:space="preserve">Кремнію діоксид аморфний</w:t>
      </w:r>
      <w:r>
        <w:rPr>
          <w:lang w:val="uk-UA"/>
        </w:rPr>
        <w:t xml:space="preserve"> – 0,001/0,000443, </w:t>
      </w:r>
      <w:r>
        <w:rPr>
          <w:lang w:val="uk-UA"/>
        </w:rPr>
        <w:t xml:space="preserve">Бутан</w:t>
      </w:r>
      <w:r>
        <w:rPr>
          <w:lang w:val="uk-UA"/>
        </w:rPr>
        <w:t xml:space="preserve"> – 3,321/</w:t>
      </w:r>
      <w:r>
        <w:rPr>
          <w:lang w:val="uk-UA"/>
        </w:rPr>
        <w:t xml:space="preserve">0,13577</w:t>
      </w:r>
      <w:r>
        <w:rPr>
          <w:lang w:val="uk-UA"/>
        </w:rPr>
        <w:t xml:space="preserve">, Гексан </w:t>
      </w:r>
      <w:r>
        <w:rPr>
          <w:lang w:val="uk-UA"/>
        </w:rPr>
        <w:t xml:space="preserve">–</w:t>
      </w:r>
      <w:r>
        <w:rPr>
          <w:lang w:val="uk-UA"/>
        </w:rPr>
        <w:t xml:space="preserve"> </w:t>
      </w:r>
      <w:r>
        <w:rPr>
          <w:lang w:val="uk-UA"/>
        </w:rPr>
        <w:t xml:space="preserve">0,095/</w:t>
      </w:r>
      <w:r>
        <w:rPr>
          <w:lang w:val="uk-UA"/>
        </w:rPr>
        <w:t xml:space="preserve">0,01621</w:t>
      </w:r>
      <w:r>
        <w:rPr>
          <w:lang w:val="uk-UA"/>
        </w:rPr>
        <w:t xml:space="preserve">, Етан - </w:t>
      </w:r>
      <w:r>
        <w:rPr>
          <w:lang w:val="uk-UA"/>
        </w:rPr>
        <w:t xml:space="preserve">13,64</w:t>
      </w:r>
      <w:r>
        <w:rPr>
          <w:lang w:val="uk-UA"/>
        </w:rPr>
        <w:t xml:space="preserve">7/</w:t>
      </w:r>
      <w:r>
        <w:rPr>
          <w:lang w:val="uk-UA"/>
        </w:rPr>
        <w:t xml:space="preserve">0,39274</w:t>
      </w:r>
      <w:r>
        <w:rPr>
          <w:lang w:val="uk-UA"/>
        </w:rPr>
        <w:t xml:space="preserve">, Пентан - </w:t>
      </w:r>
      <w:r>
        <w:rPr>
          <w:lang w:val="uk-UA"/>
        </w:rPr>
        <w:t xml:space="preserve">0,871</w:t>
      </w:r>
      <w:r>
        <w:rPr>
          <w:lang w:val="uk-UA"/>
        </w:rPr>
        <w:t xml:space="preserve">/</w:t>
      </w:r>
      <w:r>
        <w:rPr>
          <w:lang w:val="uk-UA"/>
        </w:rPr>
        <w:t xml:space="preserve">0,05971</w:t>
      </w:r>
      <w:r>
        <w:rPr>
          <w:lang w:val="uk-UA"/>
        </w:rPr>
        <w:t xml:space="preserve">, Пропан - </w:t>
      </w:r>
      <w:r>
        <w:rPr>
          <w:lang w:val="uk-UA"/>
        </w:rPr>
        <w:t xml:space="preserve">6,91</w:t>
      </w:r>
      <w:r>
        <w:rPr>
          <w:lang w:val="uk-UA"/>
        </w:rPr>
        <w:t xml:space="preserve">5/</w:t>
      </w:r>
      <w:r>
        <w:rPr>
          <w:lang w:val="uk-UA"/>
        </w:rPr>
        <w:t xml:space="preserve">0,26405</w:t>
      </w:r>
      <w:r>
        <w:rPr>
          <w:lang w:val="uk-UA"/>
        </w:rPr>
        <w:t xml:space="preserve">, </w:t>
      </w:r>
      <w:r>
        <w:rPr>
          <w:lang w:val="uk-UA"/>
        </w:rPr>
        <w:t xml:space="preserve">Бензин (нафтовий, </w:t>
      </w:r>
      <w:r>
        <w:rPr>
          <w:lang w:val="uk-UA"/>
        </w:rPr>
        <w:t xml:space="preserve">малосірчистий</w:t>
      </w:r>
      <w:r>
        <w:rPr>
          <w:lang w:val="uk-UA"/>
        </w:rPr>
        <w:t xml:space="preserve"> в перерахунку на вуглець)</w:t>
      </w:r>
      <w:r>
        <w:rPr>
          <w:lang w:val="uk-UA"/>
        </w:rPr>
        <w:t xml:space="preserve"> – 0,040/0,6917, Гас – 0,068/</w:t>
      </w:r>
      <w:r>
        <w:rPr>
          <w:lang w:val="uk-UA"/>
        </w:rPr>
        <w:t xml:space="preserve">0,02222</w:t>
      </w:r>
      <w:r>
        <w:rPr>
          <w:lang w:val="uk-UA"/>
        </w:rPr>
        <w:t xml:space="preserve">, </w:t>
      </w:r>
      <w:r>
        <w:rPr>
          <w:lang w:val="uk-UA"/>
        </w:rPr>
        <w:t xml:space="preserve">Інгібітор корозії «Нефтехим-1» (</w:t>
      </w:r>
      <w:r>
        <w:rPr>
          <w:lang w:val="uk-UA"/>
        </w:rPr>
        <w:t xml:space="preserve">талове</w:t>
      </w:r>
      <w:r>
        <w:rPr>
          <w:lang w:val="uk-UA"/>
        </w:rPr>
        <w:t xml:space="preserve"> масло - 32%, гас - 20%, </w:t>
      </w:r>
      <w:r>
        <w:rPr>
          <w:lang w:val="uk-UA"/>
        </w:rPr>
        <w:t xml:space="preserve">поліетиленполіаміди</w:t>
      </w:r>
      <w:r>
        <w:rPr>
          <w:lang w:val="uk-UA"/>
        </w:rPr>
        <w:t xml:space="preserve"> - 8%, стабільний каталізатор - 10%)</w:t>
      </w:r>
      <w:r>
        <w:rPr>
          <w:lang w:val="uk-UA"/>
        </w:rPr>
        <w:t xml:space="preserve"> – 0,008/0,005808, </w:t>
      </w:r>
      <w:r>
        <w:rPr>
          <w:lang w:val="uk-UA"/>
        </w:rPr>
        <w:t xml:space="preserve">Масло мінеральне нафтове (веретенне, машинне, циліндрове і ін.)</w:t>
      </w:r>
      <w:r>
        <w:rPr>
          <w:lang w:val="uk-UA"/>
        </w:rPr>
        <w:t xml:space="preserve"> - </w:t>
      </w:r>
      <w:r>
        <w:rPr>
          <w:lang w:val="uk-UA"/>
        </w:rPr>
        <w:t xml:space="preserve">0,02</w:t>
      </w:r>
      <w:r>
        <w:rPr>
          <w:lang w:val="uk-UA"/>
        </w:rPr>
        <w:t xml:space="preserve">2/</w:t>
      </w:r>
      <w:r>
        <w:rPr>
          <w:lang w:val="uk-UA"/>
        </w:rPr>
        <w:t xml:space="preserve">0,002780068</w:t>
      </w:r>
      <w:r>
        <w:rPr>
          <w:lang w:val="uk-UA"/>
        </w:rPr>
        <w:t xml:space="preserve">, </w:t>
      </w:r>
      <w:r>
        <w:rPr>
          <w:lang w:val="uk-UA"/>
        </w:rPr>
        <w:t xml:space="preserve">Вуглеводні насичені C12 - C19 (розчинник РПК-26511 та ін.) у перерахунку на сумарний органічний вуглець</w:t>
      </w:r>
      <w:r>
        <w:rPr>
          <w:lang w:val="uk-UA"/>
        </w:rPr>
        <w:t xml:space="preserve"> - </w:t>
      </w:r>
      <w:r>
        <w:rPr>
          <w:lang w:val="uk-UA"/>
        </w:rPr>
        <w:t xml:space="preserve">11,2</w:t>
      </w:r>
      <w:r>
        <w:rPr>
          <w:lang w:val="uk-UA"/>
        </w:rPr>
        <w:t xml:space="preserve">50/</w:t>
      </w:r>
      <w:r>
        <w:rPr>
          <w:lang w:val="uk-UA"/>
        </w:rPr>
        <w:t xml:space="preserve">3,198337</w:t>
      </w:r>
      <w:r>
        <w:rPr>
          <w:lang w:val="uk-UA"/>
        </w:rPr>
        <w:t xml:space="preserve">, </w:t>
      </w:r>
      <w:r>
        <w:rPr>
          <w:lang w:val="uk-UA"/>
        </w:rPr>
        <w:t xml:space="preserve">Спирт метиловий</w:t>
      </w:r>
      <w:r>
        <w:rPr>
          <w:lang w:val="uk-UA"/>
        </w:rPr>
        <w:t xml:space="preserve"> – 0,019/</w:t>
      </w:r>
      <w:r>
        <w:rPr>
          <w:lang w:val="uk-UA"/>
        </w:rPr>
        <w:t xml:space="preserve">0,000923</w:t>
      </w:r>
      <w:r>
        <w:rPr>
          <w:lang w:val="uk-UA"/>
        </w:rPr>
        <w:t xml:space="preserve">, Метан - </w:t>
      </w:r>
      <w:r>
        <w:rPr>
          <w:lang w:val="uk-UA"/>
        </w:rPr>
        <w:t xml:space="preserve">290,057</w:t>
      </w:r>
      <w:r>
        <w:rPr>
          <w:lang w:val="uk-UA"/>
        </w:rPr>
        <w:t xml:space="preserve">/</w:t>
      </w:r>
      <w:r>
        <w:rPr>
          <w:lang w:val="uk-UA"/>
        </w:rPr>
        <w:t xml:space="preserve">11,67531</w:t>
      </w:r>
      <w:r>
        <w:rPr>
          <w:lang w:val="uk-UA"/>
        </w:rPr>
        <w:t xml:space="preserve">, </w:t>
      </w:r>
      <w:r>
        <w:rPr>
          <w:lang w:val="uk-UA"/>
        </w:rPr>
        <w:t xml:space="preserve">Пароподібні та газоподібні сполуки хлору, якщо вони не ввійшли до класу I, у перерахунку на хлористий водень</w:t>
      </w:r>
      <w:r>
        <w:rPr>
          <w:lang w:val="uk-UA"/>
        </w:rPr>
        <w:t xml:space="preserve"> – 0,001/</w:t>
      </w:r>
      <w:r>
        <w:rPr>
          <w:lang w:val="uk-UA"/>
        </w:rPr>
        <w:t xml:space="preserve">0,00221</w:t>
      </w:r>
      <w:r>
        <w:rPr>
          <w:lang w:val="uk-UA"/>
        </w:rPr>
        <w:t xml:space="preserve">, </w:t>
      </w:r>
      <w:r>
        <w:rPr>
          <w:lang w:val="uk-UA"/>
        </w:rPr>
        <w:t xml:space="preserve">Фтористі сполуки погано розчинні неорганічні (фторид алюмінію, </w:t>
      </w:r>
      <w:r>
        <w:rPr>
          <w:lang w:val="uk-UA"/>
        </w:rPr>
        <w:t xml:space="preserve">гексафторалюмінат</w:t>
      </w:r>
      <w:r>
        <w:rPr>
          <w:lang w:val="uk-UA"/>
        </w:rPr>
        <w:t xml:space="preserve"> натрію) у перерахунку на фтор</w:t>
      </w:r>
      <w:r>
        <w:rPr>
          <w:lang w:val="uk-UA"/>
        </w:rPr>
        <w:t xml:space="preserve"> - </w:t>
      </w:r>
      <w:r>
        <w:rPr>
          <w:lang w:val="uk-UA"/>
        </w:rPr>
        <w:t xml:space="preserve">0,0001</w:t>
      </w:r>
      <w:r>
        <w:rPr>
          <w:lang w:val="uk-UA"/>
        </w:rPr>
        <w:t xml:space="preserve">/</w:t>
      </w:r>
      <w:r>
        <w:rPr>
          <w:lang w:val="uk-UA"/>
        </w:rPr>
        <w:t xml:space="preserve">0,00044</w:t>
      </w:r>
      <w:r>
        <w:rPr>
          <w:lang w:val="uk-UA"/>
        </w:rPr>
        <w:t xml:space="preserve">, </w:t>
      </w:r>
      <w:r>
        <w:rPr>
          <w:lang w:val="uk-UA"/>
        </w:rPr>
        <w:t xml:space="preserve">Водень фтористий (</w:t>
      </w:r>
      <w:r>
        <w:rPr>
          <w:lang w:val="uk-UA"/>
        </w:rPr>
        <w:t xml:space="preserve">фтороводень</w:t>
      </w:r>
      <w:r>
        <w:rPr>
          <w:lang w:val="uk-UA"/>
        </w:rPr>
        <w:t xml:space="preserve">) та газоподібні сполуки фтору</w:t>
      </w:r>
      <w:r>
        <w:rPr>
          <w:lang w:val="uk-UA"/>
        </w:rPr>
        <w:t xml:space="preserve"> – 0,001/</w:t>
      </w:r>
      <w:r>
        <w:rPr>
          <w:lang w:val="uk-UA"/>
        </w:rPr>
        <w:t xml:space="preserve">0,00055</w:t>
      </w:r>
      <w:r>
        <w:rPr>
          <w:color w:val="000000"/>
          <w:lang w:val="uk-UA"/>
        </w:rPr>
        <w:t xml:space="preserve">.</w:t>
      </w:r>
      <w:r>
        <w:rPr>
          <w:b/>
          <w:lang w:val="uk-UA"/>
        </w:rPr>
      </w:r>
    </w:p>
    <w:p>
      <w:pPr>
        <w:pBdr/>
        <w:spacing/>
        <w:ind w:firstLine="709"/>
        <w:jc w:val="both"/>
        <w:rPr>
          <w:lang w:val="uk-UA"/>
        </w:rPr>
      </w:pPr>
      <w:r>
        <w:rPr>
          <w:lang w:val="uk-UA"/>
        </w:rPr>
        <w:t xml:space="preserve">Підприємство </w:t>
      </w:r>
      <w:r>
        <w:rPr>
          <w:lang w:val="uk-UA"/>
        </w:rPr>
        <w:t xml:space="preserve">має виробництва та технологічне устаткування, які підлягають до впровадження найкращих доступних технологій та методів керування </w:t>
      </w:r>
      <w:r>
        <w:rPr>
          <w:lang w:val="uk-UA"/>
        </w:rPr>
        <w:t xml:space="preserve">(</w:t>
      </w:r>
      <w:r>
        <w:rPr>
          <w:lang w:val="uk-UA"/>
        </w:rPr>
        <w:t xml:space="preserve">газові компресори</w:t>
      </w:r>
      <w:r>
        <w:rPr>
          <w:lang w:val="uk-UA"/>
        </w:rPr>
        <w:t xml:space="preserve">)</w:t>
      </w:r>
      <w:r>
        <w:rPr>
          <w:lang w:val="uk-UA"/>
        </w:rPr>
        <w:t xml:space="preserve">. </w:t>
      </w:r>
      <w:r>
        <w:rPr>
          <w:lang w:val="uk-UA"/>
        </w:rPr>
        <w:t xml:space="preserve">Паспортні характеристики нових </w:t>
      </w:r>
      <w:r>
        <w:rPr>
          <w:lang w:val="uk-UA"/>
        </w:rPr>
        <w:t xml:space="preserve">газомотокомпресорів</w:t>
      </w:r>
      <w:r>
        <w:rPr>
          <w:lang w:val="uk-UA"/>
        </w:rPr>
        <w:t xml:space="preserve"> такого типу, що експлуатуються </w:t>
      </w:r>
      <w:r>
        <w:rPr>
          <w:lang w:val="uk-UA"/>
        </w:rPr>
        <w:t xml:space="preserve">Гнідинцівським</w:t>
      </w:r>
      <w:r>
        <w:rPr>
          <w:lang w:val="uk-UA"/>
        </w:rPr>
        <w:t xml:space="preserve"> газопереробним заводом, за показниками викидів забруднюючих речовин не відповідають гранично допустимим викидам, які затверджені законодавством. Тому з метою виконання заходів із впровадження найкращих доступни</w:t>
      </w:r>
      <w:r>
        <w:rPr>
          <w:lang w:val="uk-UA"/>
        </w:rPr>
        <w:t xml:space="preserve">х</w:t>
      </w:r>
      <w:r>
        <w:rPr>
          <w:lang w:val="uk-UA"/>
        </w:rPr>
        <w:t xml:space="preserve"> технологій та методів керування та з метою скорочення викидів заплановано технічне переоснащення газопереробного заводу в рамках «Програми заходів по технічному переоснащенню газопереробних заводів ПАТ «Укрнафта» до 2030 року». Укладено договір </w:t>
      </w:r>
      <w:r>
        <w:rPr>
          <w:lang w:val="uk-UA"/>
        </w:rPr>
        <w:t xml:space="preserve">з ТОВ «Науково-виробниче підприємство </w:t>
      </w:r>
      <w:r>
        <w:rPr>
          <w:lang w:val="uk-UA"/>
        </w:rPr>
        <w:t xml:space="preserve">Техногаз</w:t>
      </w:r>
      <w:r>
        <w:rPr>
          <w:lang w:val="uk-UA"/>
        </w:rPr>
        <w:t xml:space="preserve">» </w:t>
      </w:r>
      <w:r>
        <w:rPr>
          <w:lang w:val="uk-UA"/>
        </w:rPr>
        <w:t xml:space="preserve">на розробку ТЕО по технічному переоснащенню всіх виробництв </w:t>
      </w:r>
      <w:r>
        <w:rPr>
          <w:lang w:val="uk-UA"/>
        </w:rPr>
        <w:t xml:space="preserve">Гнідинцівського</w:t>
      </w:r>
      <w:r>
        <w:rPr>
          <w:lang w:val="uk-UA"/>
        </w:rPr>
        <w:t xml:space="preserve"> ГПЗ (заміна компресорного обладнання на сучасне з використанням газомоторного приводу)</w:t>
      </w:r>
      <w:r>
        <w:rPr>
          <w:lang w:val="uk-UA"/>
        </w:rPr>
        <w:t xml:space="preserve">, заплановано розроблення та погодження в установленому пор</w:t>
      </w:r>
      <w:r>
        <w:rPr>
          <w:lang w:val="uk-UA"/>
        </w:rPr>
        <w:t xml:space="preserve">ядку проектно-кошторисної документації, проходження процедури ОВД, отримання висновку ОВД, отримання декларації на початок будівельних робіт. До 2030 р. заплановано закупівлю обладнання та послуг, проведення технологічного переоснащення цеху переробки газу</w:t>
      </w:r>
      <w:r>
        <w:rPr>
          <w:lang w:val="uk-UA"/>
        </w:rPr>
        <w:t xml:space="preserve"> (заміна компресорів </w:t>
      </w:r>
      <w:r>
        <w:rPr>
          <w:u w:val="single"/>
          <w:lang w:val="uk-UA"/>
        </w:rPr>
        <w:t xml:space="preserve">на</w:t>
      </w:r>
      <w:r>
        <w:rPr>
          <w:lang w:val="uk-UA"/>
        </w:rPr>
        <w:t xml:space="preserve"> сучасне обладнання з використанням газових двигунів)</w:t>
      </w:r>
      <w:r>
        <w:rPr>
          <w:lang w:val="uk-UA"/>
        </w:rPr>
        <w:t xml:space="preserve">.</w:t>
      </w:r>
      <w:r>
        <w:rPr>
          <w:lang w:val="uk-UA"/>
        </w:rPr>
      </w:r>
    </w:p>
    <w:p>
      <w:pPr>
        <w:pBdr/>
        <w:spacing/>
        <w:ind w:firstLine="709"/>
        <w:jc w:val="both"/>
        <w:rPr>
          <w:lang w:val="uk-UA"/>
        </w:rPr>
      </w:pPr>
      <w:r>
        <w:rPr>
          <w:lang w:val="uk-UA"/>
        </w:rPr>
        <w:t xml:space="preserve">Пропозиції щодо </w:t>
      </w:r>
      <w:r>
        <w:rPr>
          <w:lang w:val="uk-UA"/>
        </w:rPr>
        <w:t xml:space="preserve">дозволених обсягів викидів відповідають чинному законодавству.</w:t>
      </w:r>
      <w:r>
        <w:rPr>
          <w:lang w:val="uk-UA"/>
        </w:rPr>
      </w:r>
    </w:p>
    <w:p>
      <w:pPr>
        <w:pBdr/>
        <w:spacing/>
        <w:ind w:firstLine="709"/>
        <w:jc w:val="both"/>
        <w:rPr>
          <w:lang w:val="uk-UA"/>
        </w:rPr>
      </w:pPr>
      <w:r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>
        <w:rPr>
          <w:lang w:val="uk-UA"/>
        </w:rPr>
        <w:t xml:space="preserve">Чернігівської</w:t>
      </w:r>
      <w:r>
        <w:rPr>
          <w:lang w:val="uk-UA"/>
        </w:rPr>
        <w:t xml:space="preserve"> обласної </w:t>
      </w:r>
      <w:r>
        <w:rPr>
          <w:lang w:val="uk-UA"/>
        </w:rPr>
        <w:t xml:space="preserve">військової </w:t>
      </w:r>
      <w:r>
        <w:rPr>
          <w:lang w:val="uk-UA"/>
        </w:rPr>
        <w:t xml:space="preserve">адміністрації</w:t>
      </w:r>
      <w:r>
        <w:rPr>
          <w:lang w:val="uk-UA"/>
        </w:rPr>
        <w:t xml:space="preserve"> за </w:t>
      </w:r>
      <w:r>
        <w:rPr>
          <w:lang w:val="uk-UA"/>
        </w:rPr>
        <w:t xml:space="preserve">адресою</w:t>
      </w:r>
      <w:r>
        <w:rPr>
          <w:lang w:val="uk-UA"/>
        </w:rPr>
        <w:t xml:space="preserve">: </w:t>
      </w:r>
      <w:r>
        <w:rPr>
          <w:lang w:val="uk-UA"/>
        </w:rPr>
        <w:t xml:space="preserve">вул. Шевченка, 7, м. Чернігів, 14000, (0462)  67-50-71, 67-50-58, post@regadm.gov.ua</w:t>
      </w:r>
      <w:r>
        <w:rPr>
          <w:lang w:val="uk-UA"/>
        </w:rPr>
        <w:t xml:space="preserve">.</w:t>
      </w:r>
      <w:r>
        <w:rPr>
          <w:lang w:val="uk-UA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>
    <w:name w:val="Body Text Indent"/>
    <w:basedOn w:val="629"/>
    <w:link w:val="634"/>
    <w:pPr>
      <w:pBdr/>
      <w:spacing w:after="120"/>
      <w:ind w:left="283"/>
    </w:pPr>
  </w:style>
  <w:style w:type="character" w:styleId="634" w:customStyle="1">
    <w:name w:val="Основний текст з відступом Знак"/>
    <w:basedOn w:val="630"/>
    <w:link w:val="633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5">
    <w:name w:val="Hyperlink"/>
    <w:basedOn w:val="630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636">
    <w:name w:val="Plain Text"/>
    <w:basedOn w:val="629"/>
    <w:link w:val="637"/>
    <w:pPr>
      <w:pBdr/>
      <w:spacing/>
      <w:ind/>
    </w:pPr>
    <w:rPr>
      <w:rFonts w:ascii="Courier New" w:hAnsi="Courier New"/>
      <w:sz w:val="20"/>
      <w:szCs w:val="20"/>
    </w:rPr>
  </w:style>
  <w:style w:type="character" w:styleId="637" w:customStyle="1">
    <w:name w:val="Текст Знак"/>
    <w:basedOn w:val="630"/>
    <w:link w:val="636"/>
    <w:pPr>
      <w:pBdr/>
      <w:spacing/>
      <w:ind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638">
    <w:name w:val="Normal (Web)"/>
    <w:basedOn w:val="629"/>
    <w:uiPriority w:val="99"/>
    <w:semiHidden/>
    <w:unhideWhenUsed/>
    <w:pPr>
      <w:pBdr/>
      <w:spacing w:after="100" w:afterAutospacing="1" w:before="100" w:beforeAutospacing="1"/>
      <w:ind/>
    </w:pPr>
    <w:rPr>
      <w:lang w:val="en-US" w:eastAsia="en-US"/>
    </w:rPr>
  </w:style>
  <w:style w:type="character" w:styleId="639" w:customStyle="1">
    <w:name w:val="Незакрита згадка1"/>
    <w:basedOn w:val="63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Svitlana.Kasha@Ukrnafta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Anonymous</cp:lastModifiedBy>
  <cp:revision>74</cp:revision>
  <dcterms:created xsi:type="dcterms:W3CDTF">2018-02-05T11:51:00Z</dcterms:created>
  <dcterms:modified xsi:type="dcterms:W3CDTF">2024-12-24T10:20:55Z</dcterms:modified>
</cp:coreProperties>
</file>